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9"/>
        <w:gridCol w:w="1940"/>
        <w:gridCol w:w="1157"/>
        <w:gridCol w:w="2016"/>
        <w:gridCol w:w="1236"/>
        <w:tblGridChange w:id="0">
          <w:tblGrid>
            <w:gridCol w:w="3119"/>
            <w:gridCol w:w="1940"/>
            <w:gridCol w:w="1157"/>
            <w:gridCol w:w="2016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аналитика-партије, избори, демократија, Јавна управа, локална самоуправа и јавне политике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Политичка корупција и заробљена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држава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Зоран Стојиљковић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Изборни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 и  истраживање узрока, природе, облика, садржаја и политичкокултурне суштине корупције. У фокусу анализе  су  механизми продора корупције у институције.  Посебно ће бити обрађена политичка корупција, корупција у привреди и државној и локалној администрацији, односно релација која се успоставља између системске, политичке корупције и у мреже клијентелизма заробљене државе, односно обрнуто пропорционални однос који се успоставља између корупције и политичке одговорности.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Посебан сегмент наставе чине истраживања корупције и наравно, антикоруптивне стратегије, актери и “aлаткe” 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Студијем политичке корупције и антикоруптивних стратегија, односно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Изучавањем везе између системске корупције и демократских дефицита државе, студенти се оспособљавају за разумевање ове сложене релације и практично припремају за активност и деловање унутар антикоруптивних органа, организација цивилног друштва и истраживачких медија.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Појам, врсте,облици и типологија корупције, 2. Узроци корупције, 3. Политичка корупција и слаба ,заробљена држава,  (4) Политичко покровитељсто и клијентелистичке шеме- актери и механизми </w:t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5. Истраживање и мерење корупције , 6 Корупција, клијентелизам и партијско запошљавање у Србији, 7 Финансирање политичких странака и избора и скривени токови новца,  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8. Стратегија и методе  борбе против корупције; 9. Антикорупцијски системски закони; 10. Инструменти и органи за борбу против корупције; 11. Улога независних државних органа у борби против корупције; 12. Цивилно друштво, медији и антикоруптивне стратегије </w:t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Истрживачки рад и пракса у сарадањи са  независним државним органима, експертима и НВО и медијима који се баве истраживањем корупције и клијентелизма   и антикоруптивним методама и стратегијама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Ејкерман, Сјузан Роуз (2007),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Корупција и власт: узроци, последице и реформа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Београд: Службени гласник; Ејкерман, Сјузан Роуз (ур) (2008),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Економија корупције: међународни зборник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Београд: Службени гласник; Чупић, Чедомир (2010),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Политика и одговорност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Београд: Удружење за политичке науке Србије и Чигоја штампа, Павловић Душан (2018), Машина за расипање пара: пeт месеци у министарству привреде, Дан Граф, Београд ; Стојиљковић Зоран, ( 2013), Држава и корупција, Чигоја штампа, Београд; Abbi, Innes (January 2014) , „The Political Economy of State Capture in Central Europe” 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JCMS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Volume 52. No. Berenschot, Ward,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Political Economy of Clientelism: AComparative Study of Indonesia’s Patronage Democracy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Comparative Political Studies 2018, Vol. 51(12) 1563–1593;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Bieber, Florian (2018). „The Rise (and Fall) of Balkan Stabilitocracies“, u: Horizons, Winter 2018, Number 10, str. 176-185.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Cvejić, S, ed. 2016),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Informal Power Networks, Political Patronage and Clientelism in Serbia and  Kosovo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 Belgrade; Hellman Joel,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Winners Take All: The Politics of Partial Reform in Postcommunist TransitionsAuthor(s)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: Reviewed work(s):Source: World Politics, Vol. 50, No. 2 (Jan., 1998), pp. 203-234 Published by: Cambridge University PressStable URL: 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http://www.jstor.org/stable/25054036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; Hellman, Joel, Kaufmann, Daniel (2018),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State Capture in Transition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Natural Resource Governance Institute, Internet,  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https://resourcegovernance.org/sites/default/files/documents/state-capture-in-transition.pdf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12/05/2020Hicken, A., Clientelism.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Annual Review of Political Science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14, 2011: 289-310).; Kitschelt, Wilkinson (2007)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Patrons, Clients, and Policies: Patterns of Democratic Accountability and Political Competition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Martini, Maira (2014),  ‘’State Capture: An Overwiev’‘, Transparency International the global coalition against corruption, Internet, </w:t>
            </w: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color w:val="0563c1"/>
                  <w:sz w:val="20"/>
                  <w:szCs w:val="20"/>
                  <w:u w:val="single"/>
                  <w:vertAlign w:val="baseline"/>
                  <w:rtl w:val="0"/>
                </w:rPr>
                <w:t xml:space="preserve">https://www.transparency.org/files/content/corruptionqas/State_capture_an_overview_2014.pdf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, 12/05/2020</w:t>
              <w:br w:type="textWrapping"/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Предавња, расправе, менторска подршка изради истраживачких радова, пракса у антикоруптивним органима и НВО</w:t>
            </w:r>
          </w:p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10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0610"/>
        <w:tblGridChange w:id="0">
          <w:tblGrid>
            <w:gridCol w:w="10610"/>
          </w:tblGrid>
        </w:tblGridChange>
      </w:tblGrid>
      <w:tr>
        <w:trPr>
          <w:trHeight w:val="219" w:hRule="atLeast"/>
        </w:trPr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" w:hRule="atLeast"/>
        </w:trPr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" w:hRule="atLeast"/>
        </w:trPr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" w:hRule="atLeast"/>
        </w:trPr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" w:hRule="atLeast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" w:hRule="atLeast"/>
        </w:trPr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8" w:hRule="atLeast"/>
        </w:trPr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Hyperlink">
    <w:name w:val="Hyperlink"/>
    <w:next w:val="Hyperlink"/>
    <w:autoRedefine w:val="0"/>
    <w:hidden w:val="0"/>
    <w:qFormat w:val="1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transparency.org/files/content/corruptionqas/State_capture_an_overview_2014.pdf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jstor.org/stable/25054036" TargetMode="External"/><Relationship Id="rId8" Type="http://schemas.openxmlformats.org/officeDocument/2006/relationships/hyperlink" Target="https://resourcegovernance.org/sites/default/files/documents/state-capture-in-transitio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ANQq8ePDVGWJ2uQnu3nhI1nA6A==">AMUW2mXSZ+1TT0bZdbkeCTf3JfNjhXtzUVzObEDERs4RGJE3Bz+CBk+dYGA2PVtAFldZX1oKyLnqinXgq19WoPci5zdgQxHCuN7xTZcORj94fXB8XzHb6vLwSQhF4YhT5ZDsuOuT63Ej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2021-04-26T07:44:00Z</dcterms:created>
  <dc:creator>ivana.sunderic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